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E0B1" w14:textId="3CE38CEB" w:rsidR="00FC3DE1" w:rsidRPr="0005667B" w:rsidRDefault="00FC3DE1" w:rsidP="00FC3DE1">
      <w:pPr>
        <w:keepNext/>
        <w:spacing w:after="60" w:line="240" w:lineRule="auto"/>
        <w:jc w:val="both"/>
        <w:outlineLvl w:val="0"/>
        <w:rPr>
          <w:rFonts w:eastAsia="Times New Roman" w:cstheme="minorHAnsi"/>
          <w:b/>
        </w:rPr>
      </w:pPr>
      <w:bookmarkStart w:id="0" w:name="_Toc139359198"/>
      <w:bookmarkStart w:id="1" w:name="_Toc139360198"/>
      <w:r w:rsidRPr="0005667B">
        <w:rPr>
          <w:rFonts w:eastAsia="Times New Roman" w:cstheme="minorHAnsi"/>
          <w:b/>
        </w:rPr>
        <w:t xml:space="preserve">Vorm </w:t>
      </w:r>
      <w:r w:rsidR="009D5DB5">
        <w:rPr>
          <w:rFonts w:eastAsia="Times New Roman" w:cstheme="minorHAnsi"/>
          <w:b/>
        </w:rPr>
        <w:t>4</w:t>
      </w:r>
      <w:r w:rsidRPr="0005667B">
        <w:rPr>
          <w:rFonts w:eastAsia="Times New Roman" w:cstheme="minorHAnsi"/>
          <w:b/>
        </w:rPr>
        <w:t xml:space="preserve"> – Hankemenetlusel osalemise avaldus</w:t>
      </w:r>
      <w:bookmarkEnd w:id="0"/>
      <w:bookmarkEnd w:id="1"/>
    </w:p>
    <w:p w14:paraId="53E2CEE6" w14:textId="77777777" w:rsidR="00FC3DE1" w:rsidRPr="0005667B" w:rsidRDefault="00FC3DE1" w:rsidP="00FC3DE1">
      <w:pPr>
        <w:spacing w:after="60" w:line="240" w:lineRule="auto"/>
        <w:jc w:val="both"/>
        <w:rPr>
          <w:rFonts w:eastAsia="Times New Roman" w:cstheme="minorHAnsi"/>
        </w:rPr>
      </w:pPr>
    </w:p>
    <w:p w14:paraId="3F283D46" w14:textId="39C70D56" w:rsidR="00895956" w:rsidRPr="0005667B" w:rsidRDefault="009711DB" w:rsidP="00895956">
      <w:pPr>
        <w:jc w:val="both"/>
        <w:rPr>
          <w:rFonts w:cstheme="minorHAnsi"/>
          <w:b/>
        </w:rPr>
      </w:pPr>
      <w:r w:rsidRPr="0005667B">
        <w:rPr>
          <w:rFonts w:eastAsia="Times New Roman" w:cstheme="minorHAnsi"/>
          <w:b/>
        </w:rPr>
        <w:t xml:space="preserve">Hankemenetluse nimetus: </w:t>
      </w:r>
      <w:r w:rsidR="00A87387" w:rsidRPr="0005667B">
        <w:rPr>
          <w:rFonts w:eastAsia="Times New Roman" w:cstheme="minorHAnsi"/>
          <w:b/>
        </w:rPr>
        <w:t>„</w:t>
      </w:r>
      <w:r w:rsidR="009D5DB5" w:rsidRPr="009D5DB5">
        <w:rPr>
          <w:rFonts w:cstheme="minorHAnsi"/>
          <w:b/>
          <w:noProof/>
        </w:rPr>
        <w:t>Rõngu Vabatahtliku Päästeseltsi depoohoone I etapi ehitus</w:t>
      </w:r>
      <w:r w:rsidR="00A87387" w:rsidRPr="0005667B">
        <w:rPr>
          <w:rFonts w:cstheme="minorHAnsi"/>
          <w:b/>
          <w:noProof/>
        </w:rPr>
        <w:t>“</w:t>
      </w:r>
    </w:p>
    <w:p w14:paraId="05C3799B" w14:textId="77777777" w:rsidR="009711DB" w:rsidRPr="0005667B" w:rsidRDefault="009711DB" w:rsidP="009711DB">
      <w:pPr>
        <w:spacing w:after="60" w:line="240" w:lineRule="auto"/>
        <w:jc w:val="both"/>
        <w:rPr>
          <w:rFonts w:eastAsia="Times New Roman" w:cstheme="minorHAnsi"/>
          <w:b/>
        </w:rPr>
      </w:pPr>
    </w:p>
    <w:p w14:paraId="371CD440" w14:textId="77777777" w:rsidR="00FC3DE1" w:rsidRPr="0005667B" w:rsidRDefault="00FC3DE1" w:rsidP="00FC3DE1">
      <w:pPr>
        <w:spacing w:after="60" w:line="240" w:lineRule="auto"/>
        <w:jc w:val="both"/>
        <w:rPr>
          <w:rFonts w:eastAsia="Times New Roman" w:cstheme="minorHAnsi"/>
        </w:rPr>
      </w:pPr>
    </w:p>
    <w:p w14:paraId="680763C7" w14:textId="77777777" w:rsidR="00FC3DE1" w:rsidRPr="0005667B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Kinnitame, et meie pakkumus on esitatud kõiki </w:t>
      </w:r>
      <w:r w:rsidR="00EE7727" w:rsidRPr="0005667B">
        <w:rPr>
          <w:rFonts w:eastAsia="Times New Roman" w:cstheme="minorHAnsi"/>
        </w:rPr>
        <w:t>riigi</w:t>
      </w:r>
      <w:r w:rsidRPr="0005667B">
        <w:rPr>
          <w:rFonts w:eastAsia="Times New Roman" w:cstheme="minorHAnsi"/>
        </w:rPr>
        <w:t>hanke</w:t>
      </w:r>
      <w:r w:rsidR="00EE7727" w:rsidRPr="0005667B">
        <w:rPr>
          <w:rFonts w:eastAsia="Times New Roman" w:cstheme="minorHAnsi"/>
        </w:rPr>
        <w:t xml:space="preserve"> alus</w:t>
      </w:r>
      <w:r w:rsidRPr="0005667B">
        <w:rPr>
          <w:rFonts w:eastAsia="Times New Roman" w:cstheme="minorHAnsi"/>
        </w:rPr>
        <w:t xml:space="preserve">dokumentides esitatud tingimusi üle võttes. Aktsepteerime täielikult </w:t>
      </w:r>
      <w:r w:rsidR="00EE7727" w:rsidRPr="0005667B">
        <w:rPr>
          <w:rFonts w:eastAsia="Times New Roman" w:cstheme="minorHAnsi"/>
        </w:rPr>
        <w:t xml:space="preserve">riigihanke alusdokumentides </w:t>
      </w:r>
      <w:r w:rsidRPr="0005667B">
        <w:rPr>
          <w:rFonts w:eastAsia="Times New Roman" w:cstheme="minorHAnsi"/>
        </w:rPr>
        <w:t xml:space="preserve">sätestatud tingimusi ja kinnitame, et meie pakkumus on </w:t>
      </w:r>
      <w:r w:rsidR="00EE7727" w:rsidRPr="0005667B">
        <w:rPr>
          <w:rFonts w:eastAsia="Times New Roman" w:cstheme="minorHAnsi"/>
        </w:rPr>
        <w:t xml:space="preserve">nendega </w:t>
      </w:r>
      <w:r w:rsidRPr="0005667B">
        <w:rPr>
          <w:rFonts w:eastAsia="Times New Roman" w:cstheme="minorHAnsi"/>
        </w:rPr>
        <w:t>täielikus vastavuses.</w:t>
      </w:r>
      <w:r w:rsidR="00EE7727" w:rsidRPr="0005667B">
        <w:rPr>
          <w:rFonts w:eastAsia="Times New Roman" w:cstheme="minorHAnsi"/>
        </w:rPr>
        <w:t xml:space="preserve"> </w:t>
      </w:r>
    </w:p>
    <w:p w14:paraId="7E8BC2E6" w14:textId="77777777" w:rsidR="00FC3DE1" w:rsidRPr="0005667B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Kinnitame, et oleme tutvunud </w:t>
      </w:r>
      <w:r w:rsidR="00EE7727" w:rsidRPr="0005667B">
        <w:rPr>
          <w:rFonts w:eastAsia="Times New Roman" w:cstheme="minorHAnsi"/>
        </w:rPr>
        <w:t>riigihanke alusdokumentide</w:t>
      </w:r>
      <w:r w:rsidRPr="0005667B">
        <w:rPr>
          <w:rFonts w:eastAsia="Times New Roman" w:cstheme="minorHAnsi"/>
        </w:rPr>
        <w:t xml:space="preserve">ga ning  nõustume täielikult Hankija esitatud tingimustega. Kinnitame, et meile oli antud võimalus saada täiendavat informatsiooni </w:t>
      </w:r>
      <w:r w:rsidR="00EE7727" w:rsidRPr="0005667B">
        <w:rPr>
          <w:rFonts w:eastAsia="Times New Roman" w:cstheme="minorHAnsi"/>
        </w:rPr>
        <w:t xml:space="preserve">riigihanke alusdokumentide </w:t>
      </w:r>
      <w:r w:rsidRPr="0005667B">
        <w:rPr>
          <w:rFonts w:eastAsia="Times New Roman" w:cstheme="minorHAnsi"/>
        </w:rPr>
        <w:t xml:space="preserve">kohta ja tutvuda </w:t>
      </w:r>
      <w:r w:rsidR="00EE7727" w:rsidRPr="0005667B">
        <w:rPr>
          <w:rFonts w:eastAsia="Times New Roman" w:cstheme="minorHAnsi"/>
        </w:rPr>
        <w:t xml:space="preserve">riigihanke </w:t>
      </w:r>
      <w:r w:rsidRPr="0005667B">
        <w:rPr>
          <w:rFonts w:eastAsia="Times New Roman" w:cstheme="minorHAnsi"/>
        </w:rPr>
        <w:t>objekti</w:t>
      </w:r>
      <w:r w:rsidR="00EE7727" w:rsidRPr="0005667B">
        <w:rPr>
          <w:rFonts w:eastAsia="Times New Roman" w:cstheme="minorHAnsi"/>
        </w:rPr>
        <w:t>(de)</w:t>
      </w:r>
      <w:r w:rsidRPr="0005667B">
        <w:rPr>
          <w:rFonts w:eastAsia="Times New Roman" w:cstheme="minorHAnsi"/>
        </w:rPr>
        <w:t xml:space="preserve">ga, oleme teadlikud Hankija soovidest ning oleme arvestanud kõikide tingimustega, mis võivad mõjutada </w:t>
      </w:r>
      <w:r w:rsidR="00EE7727" w:rsidRPr="0005667B">
        <w:rPr>
          <w:rFonts w:eastAsia="Times New Roman" w:cstheme="minorHAnsi"/>
        </w:rPr>
        <w:t>pakkumuse</w:t>
      </w:r>
      <w:r w:rsidRPr="0005667B">
        <w:rPr>
          <w:rFonts w:eastAsia="Times New Roman" w:cstheme="minorHAnsi"/>
        </w:rPr>
        <w:t xml:space="preserve"> maksumust.</w:t>
      </w:r>
    </w:p>
    <w:p w14:paraId="52C0EA30" w14:textId="77777777" w:rsidR="002E53E3" w:rsidRPr="0005667B" w:rsidRDefault="002E53E3" w:rsidP="002E53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Kinnitame, et pakkumuse koostamisel oleme arvesse võtnud kõik käesoleva riigihanke teostamiseks ja hankelepingu eesmärgi saavutamiseks vajalikud töövõtja tööd, teenused, tegevused ja toimingud, kaasa arvatud need, mis ei ole otseselt kirjeldatud </w:t>
      </w:r>
      <w:r w:rsidR="00EE7727" w:rsidRPr="0005667B">
        <w:rPr>
          <w:rFonts w:eastAsia="Times New Roman" w:cstheme="minorHAnsi"/>
        </w:rPr>
        <w:t xml:space="preserve">riigihanke alusdokumentides </w:t>
      </w:r>
      <w:r w:rsidRPr="0005667B">
        <w:rPr>
          <w:rFonts w:eastAsia="Times New Roman" w:cstheme="minorHAnsi"/>
        </w:rPr>
        <w:t>ja selle lisades, kuid mis on tavapäraselt vajalikud nõuetekohase tulemuse saavutamiseks.</w:t>
      </w:r>
    </w:p>
    <w:p w14:paraId="4DE51E5C" w14:textId="19BBEBB9" w:rsidR="00FC3DE1" w:rsidRPr="0005667B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Lähtudes </w:t>
      </w:r>
      <w:r w:rsidR="00A17FCD" w:rsidRPr="0005667B">
        <w:rPr>
          <w:rFonts w:eastAsia="Times New Roman" w:cstheme="minorHAnsi"/>
        </w:rPr>
        <w:t>riigi</w:t>
      </w:r>
      <w:r w:rsidRPr="0005667B">
        <w:rPr>
          <w:rFonts w:eastAsia="Times New Roman" w:cstheme="minorHAnsi"/>
        </w:rPr>
        <w:t>hanke</w:t>
      </w:r>
      <w:r w:rsidR="00A17FCD" w:rsidRPr="0005667B">
        <w:rPr>
          <w:rFonts w:eastAsia="Times New Roman" w:cstheme="minorHAnsi"/>
        </w:rPr>
        <w:t xml:space="preserve"> alus</w:t>
      </w:r>
      <w:r w:rsidRPr="0005667B">
        <w:rPr>
          <w:rFonts w:eastAsia="Times New Roman" w:cstheme="minorHAnsi"/>
        </w:rPr>
        <w:t xml:space="preserve">dokumentides esitatud kvaliteedinõuetest ning muudest tingimustest, kohustume teostama riigihanke objektiks olevad tööd </w:t>
      </w:r>
      <w:r w:rsidR="009711DB" w:rsidRPr="0005667B">
        <w:rPr>
          <w:rFonts w:eastAsia="Times New Roman" w:cstheme="minorHAnsi"/>
        </w:rPr>
        <w:t xml:space="preserve">Vormil </w:t>
      </w:r>
      <w:r w:rsidR="00907780">
        <w:rPr>
          <w:rFonts w:eastAsia="Times New Roman" w:cstheme="minorHAnsi"/>
        </w:rPr>
        <w:t>2</w:t>
      </w:r>
      <w:r w:rsidR="002E53E3" w:rsidRPr="0005667B">
        <w:rPr>
          <w:rFonts w:eastAsia="Times New Roman" w:cstheme="minorHAnsi"/>
        </w:rPr>
        <w:t xml:space="preserve"> kajastatud</w:t>
      </w:r>
      <w:r w:rsidRPr="0005667B">
        <w:rPr>
          <w:rFonts w:eastAsia="Times New Roman" w:cstheme="minorHAnsi"/>
        </w:rPr>
        <w:t xml:space="preserve"> maksumusega.</w:t>
      </w:r>
    </w:p>
    <w:p w14:paraId="69CA90FA" w14:textId="4380755A" w:rsidR="00FC3DE1" w:rsidRPr="0005667B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Kinnitame, et pakkumuse koosseisus esitatud pakkumuse maksumuse tabel </w:t>
      </w:r>
      <w:r w:rsidR="009711DB" w:rsidRPr="0005667B">
        <w:rPr>
          <w:rFonts w:eastAsia="Times New Roman" w:cstheme="minorHAnsi"/>
        </w:rPr>
        <w:t xml:space="preserve">Vormil </w:t>
      </w:r>
      <w:r w:rsidR="00907780">
        <w:rPr>
          <w:rFonts w:eastAsia="Times New Roman" w:cstheme="minorHAnsi"/>
        </w:rPr>
        <w:t>2</w:t>
      </w:r>
      <w:r w:rsidR="002851C5" w:rsidRPr="0005667B">
        <w:rPr>
          <w:rFonts w:eastAsia="Times New Roman" w:cstheme="minorHAnsi"/>
        </w:rPr>
        <w:t xml:space="preserve"> </w:t>
      </w:r>
      <w:r w:rsidRPr="0005667B">
        <w:rPr>
          <w:rFonts w:eastAsia="Times New Roman" w:cstheme="minorHAnsi"/>
        </w:rPr>
        <w:t>on nõuetekohaselt täidetud</w:t>
      </w:r>
      <w:r w:rsidR="002851C5" w:rsidRPr="0005667B">
        <w:rPr>
          <w:rFonts w:eastAsia="Times New Roman" w:cstheme="minorHAnsi"/>
        </w:rPr>
        <w:t xml:space="preserve"> ning kooskõlas </w:t>
      </w:r>
      <w:r w:rsidR="002851C5" w:rsidRPr="0005667B">
        <w:rPr>
          <w:rFonts w:eastAsia="Times New Roman" w:cstheme="minorHAnsi"/>
          <w:bCs/>
          <w:u w:val="single"/>
        </w:rPr>
        <w:t>eRHR</w:t>
      </w:r>
      <w:r w:rsidR="002851C5" w:rsidRPr="0005667B">
        <w:rPr>
          <w:rFonts w:eastAsia="Times New Roman" w:cstheme="minorHAnsi"/>
          <w:u w:val="single"/>
        </w:rPr>
        <w:t xml:space="preserve"> kaudu</w:t>
      </w:r>
      <w:r w:rsidR="002851C5" w:rsidRPr="0005667B">
        <w:rPr>
          <w:rFonts w:eastAsia="Times New Roman" w:cstheme="minorHAnsi"/>
          <w:bCs/>
          <w:u w:val="single"/>
        </w:rPr>
        <w:t xml:space="preserve"> eRHR-s oleval maksumuse vormil esitatud pakkumuse maksumusega</w:t>
      </w:r>
      <w:r w:rsidRPr="0005667B">
        <w:rPr>
          <w:rFonts w:eastAsia="Times New Roman" w:cstheme="minorHAnsi"/>
        </w:rPr>
        <w:t xml:space="preserve">. Saame aru, et </w:t>
      </w:r>
      <w:r w:rsidR="0064421D" w:rsidRPr="0005667B">
        <w:rPr>
          <w:rFonts w:eastAsia="Times New Roman" w:cstheme="minorHAnsi"/>
        </w:rPr>
        <w:t xml:space="preserve">Vormi </w:t>
      </w:r>
      <w:r w:rsidR="00412B10">
        <w:rPr>
          <w:rFonts w:eastAsia="Times New Roman" w:cstheme="minorHAnsi"/>
        </w:rPr>
        <w:t>2</w:t>
      </w:r>
      <w:r w:rsidR="0064421D" w:rsidRPr="0005667B">
        <w:rPr>
          <w:rFonts w:eastAsia="Times New Roman" w:cstheme="minorHAnsi"/>
        </w:rPr>
        <w:t xml:space="preserve"> </w:t>
      </w:r>
      <w:r w:rsidRPr="0005667B">
        <w:rPr>
          <w:rFonts w:eastAsia="Times New Roman" w:cstheme="minorHAnsi"/>
        </w:rPr>
        <w:t xml:space="preserve">pakkumuse maksumuse tabeli mittenõuetekohase täitmise puhul lükatakse meie pakkumus tagasi kui </w:t>
      </w:r>
      <w:r w:rsidR="00EB2C9A" w:rsidRPr="0005667B">
        <w:rPr>
          <w:rFonts w:eastAsia="Times New Roman" w:cstheme="minorHAnsi"/>
        </w:rPr>
        <w:t>riigi</w:t>
      </w:r>
      <w:r w:rsidRPr="0005667B">
        <w:rPr>
          <w:rFonts w:eastAsia="Times New Roman" w:cstheme="minorHAnsi"/>
        </w:rPr>
        <w:t>hanke</w:t>
      </w:r>
      <w:r w:rsidR="00EB2C9A" w:rsidRPr="0005667B">
        <w:rPr>
          <w:rFonts w:eastAsia="Times New Roman" w:cstheme="minorHAnsi"/>
        </w:rPr>
        <w:t xml:space="preserve"> alus</w:t>
      </w:r>
      <w:r w:rsidRPr="0005667B">
        <w:rPr>
          <w:rFonts w:eastAsia="Times New Roman" w:cstheme="minorHAnsi"/>
        </w:rPr>
        <w:t>dokumentidele mittevastav.</w:t>
      </w:r>
    </w:p>
    <w:p w14:paraId="1B28B3B2" w14:textId="77777777" w:rsidR="00FC3DE1" w:rsidRPr="0005667B" w:rsidRDefault="00FC3DE1" w:rsidP="00FC3DE1">
      <w:pPr>
        <w:numPr>
          <w:ilvl w:val="0"/>
          <w:numId w:val="1"/>
        </w:numPr>
        <w:tabs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>Kinnitame, et kõik esitatud dokumendid moodustavad meie pakkumuse osa.</w:t>
      </w:r>
    </w:p>
    <w:p w14:paraId="03826439" w14:textId="77777777" w:rsidR="00437697" w:rsidRPr="0005667B" w:rsidRDefault="00FC3DE1" w:rsidP="00DE2B8B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Kinnitame, et käesolev pakkumus on jõus </w:t>
      </w:r>
      <w:r w:rsidR="003E16D3" w:rsidRPr="0005667B">
        <w:rPr>
          <w:rFonts w:eastAsia="Times New Roman" w:cstheme="minorHAnsi"/>
        </w:rPr>
        <w:t>kuni hanketeates määratud pakkumuse jõusoleku minimaalse tähtaja lõppemiseni</w:t>
      </w:r>
      <w:r w:rsidRPr="0005667B">
        <w:rPr>
          <w:rFonts w:eastAsia="Times New Roman" w:cstheme="minorHAnsi"/>
        </w:rPr>
        <w:t>.</w:t>
      </w:r>
    </w:p>
    <w:p w14:paraId="3C4B86CB" w14:textId="77777777" w:rsidR="007722C2" w:rsidRPr="0005667B" w:rsidRDefault="007722C2" w:rsidP="007722C2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Avaldame, et </w:t>
      </w:r>
      <w:r w:rsidRPr="0005667B">
        <w:rPr>
          <w:rFonts w:eastAsia="Calibri" w:cstheme="minorHAnsi"/>
          <w:lang w:eastAsia="et-EE"/>
        </w:rPr>
        <w:t xml:space="preserve">kavatseme kasutada </w:t>
      </w:r>
      <w:r w:rsidR="000655FF" w:rsidRPr="0005667B">
        <w:rPr>
          <w:rFonts w:eastAsia="Calibri" w:cstheme="minorHAnsi"/>
          <w:lang w:eastAsia="et-EE"/>
        </w:rPr>
        <w:t xml:space="preserve">hankelepingu täitmisel alljärgnevaid </w:t>
      </w:r>
      <w:r w:rsidRPr="0005667B">
        <w:rPr>
          <w:rFonts w:eastAsia="Calibri" w:cstheme="minorHAnsi"/>
          <w:lang w:eastAsia="et-EE"/>
        </w:rPr>
        <w:t>isikuid</w:t>
      </w:r>
      <w:r w:rsidRPr="0005667B">
        <w:rPr>
          <w:rFonts w:eastAsia="Times New Roman" w:cstheme="minorHAnsi"/>
        </w:rPr>
        <w:t>:</w:t>
      </w:r>
    </w:p>
    <w:p w14:paraId="387EFA68" w14:textId="77777777" w:rsidR="007722C2" w:rsidRPr="0005667B" w:rsidRDefault="000655FF" w:rsidP="000655FF">
      <w:pPr>
        <w:tabs>
          <w:tab w:val="left" w:pos="7752"/>
        </w:tabs>
        <w:spacing w:after="0" w:line="240" w:lineRule="auto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ab/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77"/>
        <w:gridCol w:w="1134"/>
      </w:tblGrid>
      <w:tr w:rsidR="000655FF" w:rsidRPr="0005667B" w14:paraId="7CE714BC" w14:textId="77777777" w:rsidTr="000655FF">
        <w:trPr>
          <w:jc w:val="center"/>
        </w:trPr>
        <w:tc>
          <w:tcPr>
            <w:tcW w:w="4106" w:type="dxa"/>
            <w:vAlign w:val="center"/>
          </w:tcPr>
          <w:p w14:paraId="7A592764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Alltöövõtja nimi ja registrikood</w:t>
            </w:r>
          </w:p>
        </w:tc>
        <w:tc>
          <w:tcPr>
            <w:tcW w:w="2977" w:type="dxa"/>
            <w:vAlign w:val="center"/>
          </w:tcPr>
          <w:p w14:paraId="49492FB3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Allhanke kirjeldus (töö/teenuse iseloom)</w:t>
            </w:r>
          </w:p>
        </w:tc>
        <w:tc>
          <w:tcPr>
            <w:tcW w:w="1134" w:type="dxa"/>
            <w:vAlign w:val="center"/>
          </w:tcPr>
          <w:p w14:paraId="17B7AFFC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Allhanke maht %-na</w:t>
            </w:r>
          </w:p>
        </w:tc>
      </w:tr>
      <w:tr w:rsidR="000655FF" w:rsidRPr="0005667B" w14:paraId="751C5461" w14:textId="77777777" w:rsidTr="000655FF">
        <w:trPr>
          <w:jc w:val="center"/>
        </w:trPr>
        <w:tc>
          <w:tcPr>
            <w:tcW w:w="4106" w:type="dxa"/>
            <w:vAlign w:val="center"/>
          </w:tcPr>
          <w:p w14:paraId="4813675C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B710007" w14:textId="238F7EE5" w:rsidR="000655FF" w:rsidRPr="0005667B" w:rsidRDefault="00E52A58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2977" w:type="dxa"/>
            <w:vAlign w:val="center"/>
          </w:tcPr>
          <w:p w14:paraId="291ACA96" w14:textId="5303D575" w:rsidR="000655FF" w:rsidRPr="0005667B" w:rsidRDefault="00E52A58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03DA9F42" w14:textId="5520C12B" w:rsidR="000655FF" w:rsidRPr="0005667B" w:rsidRDefault="00E52A58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</w:tr>
      <w:tr w:rsidR="000655FF" w:rsidRPr="0005667B" w14:paraId="24D2072E" w14:textId="77777777" w:rsidTr="000655FF">
        <w:trPr>
          <w:jc w:val="center"/>
        </w:trPr>
        <w:tc>
          <w:tcPr>
            <w:tcW w:w="4106" w:type="dxa"/>
            <w:vAlign w:val="center"/>
          </w:tcPr>
          <w:p w14:paraId="5ADE1049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423B4E3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977" w:type="dxa"/>
            <w:vAlign w:val="center"/>
          </w:tcPr>
          <w:p w14:paraId="38DF1F50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62C11867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0655FF" w:rsidRPr="0005667B" w14:paraId="211E3CB8" w14:textId="77777777" w:rsidTr="000655FF">
        <w:trPr>
          <w:jc w:val="center"/>
        </w:trPr>
        <w:tc>
          <w:tcPr>
            <w:tcW w:w="4106" w:type="dxa"/>
            <w:vAlign w:val="center"/>
          </w:tcPr>
          <w:p w14:paraId="286A286F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B9DF10F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</w:p>
        </w:tc>
        <w:tc>
          <w:tcPr>
            <w:tcW w:w="2977" w:type="dxa"/>
            <w:vAlign w:val="center"/>
          </w:tcPr>
          <w:p w14:paraId="453591E8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332B59BB" w14:textId="77777777" w:rsidR="000655FF" w:rsidRPr="0005667B" w:rsidRDefault="000655FF" w:rsidP="00EC503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00C13E5" w14:textId="77777777" w:rsidR="007722C2" w:rsidRPr="0005667B" w:rsidRDefault="007722C2" w:rsidP="007722C2">
      <w:pPr>
        <w:spacing w:after="0" w:line="240" w:lineRule="auto"/>
        <w:jc w:val="both"/>
        <w:rPr>
          <w:rFonts w:eastAsia="Calibri" w:cstheme="minorHAnsi"/>
          <w:lang w:eastAsia="et-EE"/>
        </w:rPr>
      </w:pPr>
      <w:r w:rsidRPr="0005667B">
        <w:rPr>
          <w:rFonts w:eastAsia="Calibri" w:cstheme="minorHAnsi"/>
          <w:lang w:eastAsia="et-EE"/>
        </w:rPr>
        <w:t>Kinnitame, et:</w:t>
      </w:r>
    </w:p>
    <w:p w14:paraId="0A6402C0" w14:textId="77777777" w:rsidR="007722C2" w:rsidRPr="0005667B" w:rsidRDefault="000D26BC" w:rsidP="007722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noProof/>
        </w:rPr>
      </w:pPr>
      <w:r w:rsidRPr="0005667B">
        <w:rPr>
          <w:rFonts w:eastAsia="Calibri" w:cstheme="minorHAnsi"/>
          <w:lang w:eastAsia="et-EE"/>
        </w:rPr>
        <w:t>tabelis</w:t>
      </w:r>
      <w:r w:rsidR="007722C2" w:rsidRPr="0005667B">
        <w:rPr>
          <w:rFonts w:eastAsia="Calibri" w:cstheme="minorHAnsi"/>
          <w:lang w:eastAsia="et-EE"/>
        </w:rPr>
        <w:t xml:space="preserve"> nimetatud alltöövõtja töötajate keskmine töötasu oli võrdlusperioodil (RHS § 115 lõike 6 tähenduses) vähemalt 70% sama ajavahemiku keskmisest töötasust hankelepingu esemele vastavas valdkonnas, mille tõenduseks kohustume hankija nõudmisel esitama RHS § 115 lõikes 3 nimetatud tõendi;</w:t>
      </w:r>
    </w:p>
    <w:p w14:paraId="39CA28F6" w14:textId="77777777" w:rsidR="0022356F" w:rsidRPr="0005667B" w:rsidRDefault="0022356F" w:rsidP="002235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noProof/>
        </w:rPr>
      </w:pPr>
      <w:bookmarkStart w:id="2" w:name="_Hlk518989666"/>
      <w:r w:rsidRPr="0005667B">
        <w:rPr>
          <w:rFonts w:eastAsia="Times New Roman" w:cstheme="minorHAnsi"/>
          <w:noProof/>
        </w:rPr>
        <w:t>me ei kaasa hankelepingu täitmisel alltöövõtjat, kellel esineb RHS § 95 lg-s 1 toodud kõrvaldamise alus ja kes kuulub seetõttu RHS § 122 lg 7 alusel asendamisele</w:t>
      </w:r>
      <w:bookmarkEnd w:id="2"/>
      <w:r w:rsidRPr="0005667B">
        <w:rPr>
          <w:rFonts w:eastAsia="Times New Roman" w:cstheme="minorHAnsi"/>
          <w:noProof/>
        </w:rPr>
        <w:t>;</w:t>
      </w:r>
    </w:p>
    <w:p w14:paraId="1B923B76" w14:textId="77777777" w:rsidR="007722C2" w:rsidRPr="0005667B" w:rsidRDefault="007722C2" w:rsidP="007722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noProof/>
        </w:rPr>
      </w:pPr>
      <w:r w:rsidRPr="0005667B">
        <w:rPr>
          <w:rFonts w:eastAsia="Calibri" w:cstheme="minorHAnsi"/>
          <w:lang w:eastAsia="et-EE"/>
        </w:rPr>
        <w:t>oleme teadlik, et hankelepingu täitmisel võib kaasata muid alltöövõtjaid üksnes juhul, kui hankija on andnud selleks nõusoleku</w:t>
      </w:r>
      <w:r w:rsidRPr="0005667B">
        <w:rPr>
          <w:rFonts w:eastAsia="Times New Roman" w:cstheme="minorHAnsi"/>
          <w:noProof/>
        </w:rPr>
        <w:t>.</w:t>
      </w:r>
    </w:p>
    <w:p w14:paraId="53FFEC64" w14:textId="77777777" w:rsidR="007722C2" w:rsidRPr="0005667B" w:rsidRDefault="007722C2" w:rsidP="007722C2">
      <w:pPr>
        <w:spacing w:after="60" w:line="240" w:lineRule="auto"/>
        <w:jc w:val="both"/>
        <w:rPr>
          <w:rFonts w:eastAsia="Times New Roman" w:cstheme="minorHAnsi"/>
        </w:rPr>
      </w:pPr>
    </w:p>
    <w:p w14:paraId="1C1C9FF5" w14:textId="77777777" w:rsidR="00BA7A13" w:rsidRPr="0005667B" w:rsidRDefault="00BA7A13" w:rsidP="00BA7A13">
      <w:pPr>
        <w:numPr>
          <w:ilvl w:val="0"/>
          <w:numId w:val="1"/>
        </w:numPr>
        <w:spacing w:after="60" w:line="240" w:lineRule="auto"/>
        <w:jc w:val="both"/>
        <w:rPr>
          <w:rFonts w:eastAsia="Times New Roman" w:cstheme="minorHAnsi"/>
        </w:rPr>
      </w:pPr>
      <w:r w:rsidRPr="0005667B">
        <w:rPr>
          <w:rFonts w:eastAsia="Calibri" w:cstheme="minorHAnsi"/>
        </w:rPr>
        <w:t xml:space="preserve">Avaldame, et </w:t>
      </w:r>
      <w:r w:rsidRPr="0005667B">
        <w:rPr>
          <w:rFonts w:eastAsia="Times New Roman" w:cstheme="minorHAnsi"/>
        </w:rPr>
        <w:t>esitatud pakkumusest on ärisaladusega kaitstud järgmised dokumendid või teave:</w:t>
      </w:r>
    </w:p>
    <w:p w14:paraId="11313580" w14:textId="77777777" w:rsidR="00BA7A13" w:rsidRPr="0005667B" w:rsidRDefault="00BA7A13" w:rsidP="00BA7A13">
      <w:pPr>
        <w:spacing w:after="60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BA7A13" w:rsidRPr="0005667B" w14:paraId="2CE0F19A" w14:textId="77777777" w:rsidTr="00C162C1">
        <w:tc>
          <w:tcPr>
            <w:tcW w:w="704" w:type="dxa"/>
          </w:tcPr>
          <w:p w14:paraId="27DE2B85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Jrk</w:t>
            </w:r>
          </w:p>
        </w:tc>
        <w:tc>
          <w:tcPr>
            <w:tcW w:w="4111" w:type="dxa"/>
          </w:tcPr>
          <w:p w14:paraId="113853C1" w14:textId="77777777" w:rsidR="00BA7A13" w:rsidRPr="0005667B" w:rsidRDefault="00BA7A13" w:rsidP="00C162C1">
            <w:pPr>
              <w:spacing w:after="60" w:line="276" w:lineRule="auto"/>
              <w:jc w:val="center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Dokumendi nimetus (terviktekst või viide teksti osale)</w:t>
            </w:r>
          </w:p>
        </w:tc>
        <w:tc>
          <w:tcPr>
            <w:tcW w:w="4247" w:type="dxa"/>
          </w:tcPr>
          <w:p w14:paraId="38F1BCB3" w14:textId="77777777" w:rsidR="00BA7A13" w:rsidRPr="0005667B" w:rsidRDefault="00BA7A13" w:rsidP="00C162C1">
            <w:pPr>
              <w:spacing w:after="60" w:line="276" w:lineRule="auto"/>
              <w:jc w:val="center"/>
              <w:rPr>
                <w:rFonts w:eastAsia="Times New Roman" w:cstheme="minorHAnsi"/>
                <w:b/>
              </w:rPr>
            </w:pPr>
            <w:r w:rsidRPr="0005667B">
              <w:rPr>
                <w:rFonts w:eastAsia="Times New Roman" w:cstheme="minorHAnsi"/>
                <w:b/>
              </w:rPr>
              <w:t>Põhjendus teabe ärisaladuseks määramisest</w:t>
            </w:r>
          </w:p>
        </w:tc>
      </w:tr>
      <w:tr w:rsidR="00BA7A13" w:rsidRPr="0005667B" w14:paraId="1FEF3326" w14:textId="77777777" w:rsidTr="00C162C1">
        <w:tc>
          <w:tcPr>
            <w:tcW w:w="704" w:type="dxa"/>
          </w:tcPr>
          <w:p w14:paraId="4CA15ADD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  <w:r w:rsidRPr="0005667B">
              <w:rPr>
                <w:rFonts w:eastAsia="Times New Roman" w:cstheme="minorHAnsi"/>
              </w:rPr>
              <w:t>1.</w:t>
            </w:r>
          </w:p>
        </w:tc>
        <w:tc>
          <w:tcPr>
            <w:tcW w:w="4111" w:type="dxa"/>
          </w:tcPr>
          <w:p w14:paraId="6527B9C8" w14:textId="75644A9E" w:rsidR="00BA7A13" w:rsidRPr="0005667B" w:rsidRDefault="00E52A58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Ärisaladus puudub</w:t>
            </w:r>
          </w:p>
        </w:tc>
        <w:tc>
          <w:tcPr>
            <w:tcW w:w="4247" w:type="dxa"/>
          </w:tcPr>
          <w:p w14:paraId="400F2445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BA7A13" w:rsidRPr="0005667B" w14:paraId="257D85A7" w14:textId="77777777" w:rsidTr="00C162C1">
        <w:tc>
          <w:tcPr>
            <w:tcW w:w="704" w:type="dxa"/>
          </w:tcPr>
          <w:p w14:paraId="368A089B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  <w:r w:rsidRPr="0005667B">
              <w:rPr>
                <w:rFonts w:eastAsia="Times New Roman" w:cstheme="minorHAnsi"/>
              </w:rPr>
              <w:t>2.</w:t>
            </w:r>
          </w:p>
        </w:tc>
        <w:tc>
          <w:tcPr>
            <w:tcW w:w="4111" w:type="dxa"/>
          </w:tcPr>
          <w:p w14:paraId="6878E6F1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01409414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BA7A13" w:rsidRPr="0005667B" w14:paraId="03872AAE" w14:textId="77777777" w:rsidTr="00C162C1">
        <w:tc>
          <w:tcPr>
            <w:tcW w:w="704" w:type="dxa"/>
          </w:tcPr>
          <w:p w14:paraId="5B7D2EF6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  <w:r w:rsidRPr="0005667B">
              <w:rPr>
                <w:rFonts w:eastAsia="Times New Roman" w:cstheme="minorHAnsi"/>
              </w:rPr>
              <w:t>…</w:t>
            </w:r>
          </w:p>
        </w:tc>
        <w:tc>
          <w:tcPr>
            <w:tcW w:w="4111" w:type="dxa"/>
          </w:tcPr>
          <w:p w14:paraId="6C7F69CB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6F0A91C5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BA7A13" w:rsidRPr="0005667B" w14:paraId="51B9389F" w14:textId="77777777" w:rsidTr="00C162C1">
        <w:tc>
          <w:tcPr>
            <w:tcW w:w="704" w:type="dxa"/>
          </w:tcPr>
          <w:p w14:paraId="737D0F47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111" w:type="dxa"/>
          </w:tcPr>
          <w:p w14:paraId="1FC00E3B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25EEB597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BA7A13" w:rsidRPr="0005667B" w14:paraId="4F102AE4" w14:textId="77777777" w:rsidTr="00C162C1">
        <w:tc>
          <w:tcPr>
            <w:tcW w:w="704" w:type="dxa"/>
          </w:tcPr>
          <w:p w14:paraId="49BE12A3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111" w:type="dxa"/>
          </w:tcPr>
          <w:p w14:paraId="1BDDE01E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29EB9DC4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BA7A13" w:rsidRPr="0005667B" w14:paraId="05E8B1AA" w14:textId="77777777" w:rsidTr="00C162C1">
        <w:tc>
          <w:tcPr>
            <w:tcW w:w="704" w:type="dxa"/>
          </w:tcPr>
          <w:p w14:paraId="3A4A39A1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111" w:type="dxa"/>
          </w:tcPr>
          <w:p w14:paraId="4C91B64C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247" w:type="dxa"/>
          </w:tcPr>
          <w:p w14:paraId="0D0B4F2A" w14:textId="77777777" w:rsidR="00BA7A13" w:rsidRPr="0005667B" w:rsidRDefault="00BA7A13" w:rsidP="00C162C1">
            <w:pPr>
              <w:spacing w:after="60" w:line="276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AF46B19" w14:textId="77777777" w:rsidR="00BA7A13" w:rsidRPr="0005667B" w:rsidRDefault="00BA7A13" w:rsidP="00BA7A13">
      <w:pPr>
        <w:spacing w:after="60"/>
        <w:jc w:val="both"/>
        <w:rPr>
          <w:rFonts w:eastAsia="Times New Roman" w:cstheme="minorHAnsi"/>
        </w:rPr>
      </w:pPr>
    </w:p>
    <w:p w14:paraId="1DBD7B98" w14:textId="77777777" w:rsidR="00BA7A13" w:rsidRPr="0005667B" w:rsidRDefault="00BA7A13" w:rsidP="00BA7A13">
      <w:pPr>
        <w:spacing w:after="60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>Oleme teadlikud, et:</w:t>
      </w:r>
    </w:p>
    <w:p w14:paraId="093B4413" w14:textId="77777777" w:rsidR="00BA7A13" w:rsidRPr="0005667B" w:rsidRDefault="00BA7A13" w:rsidP="00BA7A13">
      <w:pPr>
        <w:pStyle w:val="ListParagraph"/>
        <w:numPr>
          <w:ilvl w:val="0"/>
          <w:numId w:val="2"/>
        </w:numPr>
        <w:spacing w:after="60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 xml:space="preserve">RHS § 111 lg 5 kohaselt ei või pakkuja </w:t>
      </w:r>
      <w:r w:rsidRPr="0005667B">
        <w:rPr>
          <w:rFonts w:cstheme="minorHAnsi"/>
        </w:rPr>
        <w:t>ärisaladusena märkida:</w:t>
      </w:r>
    </w:p>
    <w:p w14:paraId="41AF35D0" w14:textId="77777777" w:rsidR="00BA7A13" w:rsidRPr="0005667B" w:rsidRDefault="00BA7A13" w:rsidP="00BA7A13">
      <w:pPr>
        <w:pStyle w:val="ListParagraph"/>
        <w:numPr>
          <w:ilvl w:val="0"/>
          <w:numId w:val="3"/>
        </w:numPr>
        <w:tabs>
          <w:tab w:val="left" w:pos="1134"/>
        </w:tabs>
        <w:spacing w:before="240" w:after="60"/>
        <w:ind w:left="709" w:firstLine="11"/>
        <w:rPr>
          <w:rFonts w:cstheme="minorHAnsi"/>
        </w:rPr>
      </w:pPr>
      <w:r w:rsidRPr="0005667B">
        <w:rPr>
          <w:rFonts w:cstheme="minorHAnsi"/>
        </w:rPr>
        <w:t>pakkumuse maksumust ega osamaksumusi;</w:t>
      </w:r>
      <w:r w:rsidRPr="0005667B">
        <w:rPr>
          <w:rFonts w:cstheme="minorHAnsi"/>
        </w:rPr>
        <w:br/>
        <w:t>2)</w:t>
      </w:r>
      <w:r w:rsidRPr="0005667B">
        <w:rPr>
          <w:rStyle w:val="tyhik"/>
          <w:rFonts w:cstheme="minorHAnsi"/>
        </w:rPr>
        <w:t xml:space="preserve">   </w:t>
      </w:r>
      <w:r w:rsidRPr="0005667B">
        <w:rPr>
          <w:rFonts w:cstheme="minorHAnsi"/>
        </w:rPr>
        <w:t>teenuste hankelepingute puhul lisaks käesoleva punktis 1 nimetatule muid pakkumuste hindamise kriteeriumidele vastavaid pakkumust iseloomustavaid numbrilisi näitajaid;</w:t>
      </w:r>
      <w:r w:rsidRPr="0005667B">
        <w:rPr>
          <w:rFonts w:cstheme="minorHAnsi"/>
        </w:rPr>
        <w:br/>
        <w:t>3)</w:t>
      </w:r>
      <w:r w:rsidRPr="0005667B">
        <w:rPr>
          <w:rStyle w:val="tyhik"/>
          <w:rFonts w:cstheme="minorHAnsi"/>
        </w:rPr>
        <w:t xml:space="preserve">   </w:t>
      </w:r>
      <w:r w:rsidRPr="0005667B">
        <w:rPr>
          <w:rFonts w:cstheme="minorHAnsi"/>
        </w:rPr>
        <w:t>asjade ja ehitustööde hankelepingute puhul lisaks käesoleva punktis 1 nimetatule muid pakkumuste hindamise kriteeriumidele vastavaid pakkumust iseloomustavaid näitajaid.</w:t>
      </w:r>
    </w:p>
    <w:p w14:paraId="79B04D24" w14:textId="77777777" w:rsidR="00BA7A13" w:rsidRPr="0005667B" w:rsidRDefault="00BA7A13" w:rsidP="00BA7A13">
      <w:pPr>
        <w:pStyle w:val="ListParagraph"/>
        <w:spacing w:before="240" w:after="60"/>
        <w:ind w:left="1080"/>
        <w:rPr>
          <w:rFonts w:cstheme="minorHAnsi"/>
        </w:rPr>
      </w:pPr>
    </w:p>
    <w:p w14:paraId="7B8C6372" w14:textId="77777777" w:rsidR="00BA7A13" w:rsidRPr="0005667B" w:rsidRDefault="00BA7A13" w:rsidP="00BA7A13">
      <w:pPr>
        <w:pStyle w:val="ListParagraph"/>
        <w:numPr>
          <w:ilvl w:val="0"/>
          <w:numId w:val="2"/>
        </w:numPr>
        <w:spacing w:before="240" w:after="60"/>
        <w:jc w:val="both"/>
        <w:rPr>
          <w:rFonts w:eastAsia="Times New Roman" w:cstheme="minorHAnsi"/>
        </w:rPr>
      </w:pPr>
      <w:r w:rsidRPr="0005667B">
        <w:rPr>
          <w:rFonts w:eastAsia="Times New Roman" w:cstheme="minorHAnsi"/>
        </w:rPr>
        <w:t>juhul kui antud vorm on täitmata või esitamata põhjendus teabe ärisaladuseks määramise kohta, loeb hankija, et pakkuja poolt esitatud pakkumus või pakkumuses sisalduv teave ei ole ärisaladusega kaitstud.</w:t>
      </w:r>
    </w:p>
    <w:p w14:paraId="53D018E7" w14:textId="77777777" w:rsidR="00BA7A13" w:rsidRPr="0005667B" w:rsidRDefault="00BA7A13" w:rsidP="00BA7A13">
      <w:pPr>
        <w:spacing w:after="60" w:line="240" w:lineRule="auto"/>
        <w:ind w:left="720"/>
        <w:jc w:val="both"/>
        <w:rPr>
          <w:rFonts w:eastAsia="Times New Roman" w:cstheme="minorHAnsi"/>
        </w:rPr>
      </w:pPr>
    </w:p>
    <w:p w14:paraId="715845EF" w14:textId="77777777" w:rsidR="0064421D" w:rsidRPr="0005667B" w:rsidRDefault="0064421D" w:rsidP="00776B21">
      <w:pPr>
        <w:spacing w:after="60"/>
        <w:jc w:val="both"/>
        <w:rPr>
          <w:rFonts w:eastAsia="Times New Roman" w:cstheme="minorHAnsi"/>
        </w:rPr>
      </w:pPr>
    </w:p>
    <w:p w14:paraId="375E3626" w14:textId="7A63C4DD" w:rsidR="003A05B6" w:rsidRDefault="00E52A58">
      <w:pPr>
        <w:rPr>
          <w:rFonts w:cstheme="minorHAnsi"/>
        </w:rPr>
      </w:pPr>
      <w:r>
        <w:rPr>
          <w:rFonts w:cstheme="minorHAnsi"/>
        </w:rPr>
        <w:t>Energia ja Ehitus OÜ</w:t>
      </w:r>
    </w:p>
    <w:p w14:paraId="4C3E3B1C" w14:textId="2785AC77" w:rsidR="00E52A58" w:rsidRDefault="00E52A58">
      <w:pPr>
        <w:rPr>
          <w:rFonts w:cstheme="minorHAnsi"/>
        </w:rPr>
      </w:pPr>
      <w:r>
        <w:rPr>
          <w:rFonts w:cstheme="minorHAnsi"/>
        </w:rPr>
        <w:t>Kaido Kurvits</w:t>
      </w:r>
    </w:p>
    <w:p w14:paraId="0A84983D" w14:textId="2304C067" w:rsidR="00E52A58" w:rsidRPr="0005667B" w:rsidRDefault="00E52A58">
      <w:pPr>
        <w:rPr>
          <w:rFonts w:cstheme="minorHAnsi"/>
        </w:rPr>
      </w:pPr>
      <w:r>
        <w:rPr>
          <w:rFonts w:cstheme="minorHAnsi"/>
        </w:rPr>
        <w:t>Juhatuse liige</w:t>
      </w:r>
    </w:p>
    <w:sectPr w:rsidR="00E52A58" w:rsidRPr="0005667B" w:rsidSect="00E65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89AE" w14:textId="77777777" w:rsidR="00711DE0" w:rsidRDefault="00711DE0" w:rsidP="00BE00FF">
      <w:pPr>
        <w:spacing w:after="0" w:line="240" w:lineRule="auto"/>
      </w:pPr>
      <w:r>
        <w:separator/>
      </w:r>
    </w:p>
  </w:endnote>
  <w:endnote w:type="continuationSeparator" w:id="0">
    <w:p w14:paraId="3C931974" w14:textId="77777777" w:rsidR="00711DE0" w:rsidRDefault="00711DE0" w:rsidP="00B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D32F" w14:textId="77777777" w:rsidR="00711DE0" w:rsidRDefault="00711DE0" w:rsidP="00BE00FF">
      <w:pPr>
        <w:spacing w:after="0" w:line="240" w:lineRule="auto"/>
      </w:pPr>
      <w:r>
        <w:separator/>
      </w:r>
    </w:p>
  </w:footnote>
  <w:footnote w:type="continuationSeparator" w:id="0">
    <w:p w14:paraId="64573742" w14:textId="77777777" w:rsidR="00711DE0" w:rsidRDefault="00711DE0" w:rsidP="00BE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EE9" w14:textId="5D059FE2" w:rsidR="00BE00FF" w:rsidRDefault="00BE00FF" w:rsidP="00BE00FF">
    <w:pPr>
      <w:pStyle w:val="Header"/>
      <w:jc w:val="right"/>
    </w:pPr>
    <w:r>
      <w:t xml:space="preserve">Vorm </w:t>
    </w:r>
    <w:r w:rsidR="009D5DB5">
      <w:t>4</w:t>
    </w:r>
  </w:p>
  <w:p w14:paraId="64F8AE0C" w14:textId="77777777" w:rsidR="00BE00FF" w:rsidRDefault="00BE0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B11"/>
    <w:multiLevelType w:val="hybridMultilevel"/>
    <w:tmpl w:val="FD789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5175F"/>
    <w:multiLevelType w:val="hybridMultilevel"/>
    <w:tmpl w:val="F1F83DA6"/>
    <w:lvl w:ilvl="0" w:tplc="E850D8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1EA0"/>
    <w:multiLevelType w:val="hybridMultilevel"/>
    <w:tmpl w:val="1772CDA4"/>
    <w:lvl w:ilvl="0" w:tplc="AB6E157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223785">
    <w:abstractNumId w:val="0"/>
  </w:num>
  <w:num w:numId="2" w16cid:durableId="688221458">
    <w:abstractNumId w:val="2"/>
  </w:num>
  <w:num w:numId="3" w16cid:durableId="1990862746">
    <w:abstractNumId w:val="5"/>
  </w:num>
  <w:num w:numId="4" w16cid:durableId="84420251">
    <w:abstractNumId w:val="1"/>
  </w:num>
  <w:num w:numId="5" w16cid:durableId="1413550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E1"/>
    <w:rsid w:val="000338F3"/>
    <w:rsid w:val="0005667B"/>
    <w:rsid w:val="000655FF"/>
    <w:rsid w:val="000C3C6A"/>
    <w:rsid w:val="000D26BC"/>
    <w:rsid w:val="001131F1"/>
    <w:rsid w:val="00127B22"/>
    <w:rsid w:val="001B401F"/>
    <w:rsid w:val="00215724"/>
    <w:rsid w:val="0022356F"/>
    <w:rsid w:val="002520E5"/>
    <w:rsid w:val="002851C5"/>
    <w:rsid w:val="002D2877"/>
    <w:rsid w:val="002E53E3"/>
    <w:rsid w:val="003A05B6"/>
    <w:rsid w:val="003B73E9"/>
    <w:rsid w:val="003E16D3"/>
    <w:rsid w:val="004031C4"/>
    <w:rsid w:val="00412B10"/>
    <w:rsid w:val="00437697"/>
    <w:rsid w:val="0055598A"/>
    <w:rsid w:val="0058426C"/>
    <w:rsid w:val="0064421D"/>
    <w:rsid w:val="00663AE4"/>
    <w:rsid w:val="00680380"/>
    <w:rsid w:val="006D5610"/>
    <w:rsid w:val="00711DE0"/>
    <w:rsid w:val="007722C2"/>
    <w:rsid w:val="00776B21"/>
    <w:rsid w:val="00895956"/>
    <w:rsid w:val="00907780"/>
    <w:rsid w:val="00951282"/>
    <w:rsid w:val="009711DB"/>
    <w:rsid w:val="009A0B2C"/>
    <w:rsid w:val="009C23FE"/>
    <w:rsid w:val="009C3948"/>
    <w:rsid w:val="009D5DB5"/>
    <w:rsid w:val="00A07262"/>
    <w:rsid w:val="00A17FCD"/>
    <w:rsid w:val="00A87387"/>
    <w:rsid w:val="00AE4F19"/>
    <w:rsid w:val="00B15665"/>
    <w:rsid w:val="00B1697E"/>
    <w:rsid w:val="00B16A62"/>
    <w:rsid w:val="00B237B5"/>
    <w:rsid w:val="00B31E8C"/>
    <w:rsid w:val="00BA7A13"/>
    <w:rsid w:val="00BC03AD"/>
    <w:rsid w:val="00BE00FF"/>
    <w:rsid w:val="00CB7064"/>
    <w:rsid w:val="00D219B8"/>
    <w:rsid w:val="00DB0815"/>
    <w:rsid w:val="00DE2B8B"/>
    <w:rsid w:val="00E52A58"/>
    <w:rsid w:val="00E65BC7"/>
    <w:rsid w:val="00EB2C9A"/>
    <w:rsid w:val="00EB60E5"/>
    <w:rsid w:val="00EE7727"/>
    <w:rsid w:val="00FC3DE1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052"/>
  <w15:docId w15:val="{A6056D88-3457-446A-8F36-06517A7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C7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C5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776B21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table" w:styleId="TableGrid">
    <w:name w:val="Table Grid"/>
    <w:basedOn w:val="TableNormal"/>
    <w:uiPriority w:val="39"/>
    <w:rsid w:val="00BA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DefaultParagraphFont"/>
    <w:rsid w:val="00BA7A13"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0FF"/>
  </w:style>
  <w:style w:type="paragraph" w:styleId="Footer">
    <w:name w:val="footer"/>
    <w:basedOn w:val="Normal"/>
    <w:link w:val="FooterChar"/>
    <w:uiPriority w:val="99"/>
    <w:unhideWhenUsed/>
    <w:rsid w:val="00B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 Pikk</dc:creator>
  <cp:lastModifiedBy>Kasutaja</cp:lastModifiedBy>
  <cp:revision>2</cp:revision>
  <dcterms:created xsi:type="dcterms:W3CDTF">2023-09-12T11:59:00Z</dcterms:created>
  <dcterms:modified xsi:type="dcterms:W3CDTF">2023-09-12T11:59:00Z</dcterms:modified>
</cp:coreProperties>
</file>